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Révision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Систематизација усвојеног градива у вези са темом породица.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враћа ученицима контролне вежбе и заједно анализирају евентуалне грешке. Наставник похваљује све ученике, њихов труд и напредак у писању.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у радним свескама вежбе 4А и 4В индивидуално.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исецају и лепе сличице са речима са стране 63 и почетак 65 (Лекција бр.4) у речнике.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 xml:space="preserve">Активност бр.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3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Квиз Милионер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Објаснити ученицима правила – један ученик је такмичар, други је записничар. Такмичар се проверава колико речи зна. Поставља му се десет питања. Има право на помоћ пријатеља, кога он бира, и на помоћ публике. Публика одговара на питање у исти глас. Записничар води евиденцију на табли. Наставник поставља питања на основу речи из речника. 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Ова игра може да послужи и за евалуацију. Наставник понуди табелу за оцењивање.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Проглашење најуспешнијих такмичара.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LibreOffice/5.3.2.2$Windows_x86 LibreOffice_project/6cd4f1ef626f15116896b1d8e1398b56da0d0ee1</Application>
  <Pages>2</Pages>
  <Words>266</Words>
  <Characters>1538</Characters>
  <CharactersWithSpaces>1789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2020-08-05T18:56:24Z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